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765538FA"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Derecho </w:t>
      </w:r>
      <w:r w:rsidR="00922FAE">
        <w:rPr>
          <w:rFonts w:asciiTheme="minorHAnsi" w:hAnsiTheme="minorHAnsi" w:cstheme="minorHAnsi"/>
          <w:szCs w:val="28"/>
        </w:rPr>
        <w:t xml:space="preserve">Bancario y Financiero </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922FAE" w:rsidRPr="00A91384" w14:paraId="2C7A9F79" w14:textId="77777777" w:rsidTr="00922FAE">
        <w:trPr>
          <w:trHeight w:val="251"/>
        </w:trPr>
        <w:tc>
          <w:tcPr>
            <w:tcW w:w="4155" w:type="dxa"/>
            <w:tcBorders>
              <w:right w:val="single" w:sz="4" w:space="0" w:color="auto"/>
            </w:tcBorders>
          </w:tcPr>
          <w:p w14:paraId="46F0DDBD" w14:textId="7C4B91EE" w:rsidR="00922FAE" w:rsidRPr="00FF5CD8" w:rsidRDefault="00942CB4" w:rsidP="00922FAE">
            <w:pPr>
              <w:pStyle w:val="TableParagraph"/>
              <w:spacing w:line="276" w:lineRule="auto"/>
              <w:ind w:left="107"/>
              <w:rPr>
                <w:rFonts w:asciiTheme="minorHAnsi" w:hAnsiTheme="minorHAnsi" w:cstheme="minorHAnsi"/>
                <w:bCs/>
              </w:rPr>
            </w:pPr>
            <w:r>
              <w:rPr>
                <w:rFonts w:asciiTheme="minorHAnsi" w:hAnsiTheme="minorHAnsi" w:cstheme="minorHAnsi"/>
                <w:bCs/>
              </w:rPr>
              <w:t>Asesoramiento regulatorio</w:t>
            </w:r>
          </w:p>
        </w:tc>
        <w:tc>
          <w:tcPr>
            <w:tcW w:w="523" w:type="dxa"/>
            <w:tcBorders>
              <w:left w:val="single" w:sz="4" w:space="0" w:color="auto"/>
            </w:tcBorders>
          </w:tcPr>
          <w:p w14:paraId="217772A7" w14:textId="77777777" w:rsidR="00922FAE" w:rsidRPr="00FF5CD8" w:rsidRDefault="00922FAE" w:rsidP="00922FAE">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1073119B" w:rsidR="00922FAE" w:rsidRPr="00FF5CD8" w:rsidRDefault="00922FAE" w:rsidP="00922FAE">
            <w:pPr>
              <w:pStyle w:val="TableParagraph"/>
              <w:spacing w:line="276" w:lineRule="auto"/>
              <w:ind w:left="105"/>
              <w:rPr>
                <w:rFonts w:asciiTheme="minorHAnsi" w:hAnsiTheme="minorHAnsi" w:cstheme="minorHAnsi"/>
                <w:bCs/>
              </w:rPr>
            </w:pPr>
            <w:r w:rsidRPr="00922FAE">
              <w:rPr>
                <w:rFonts w:asciiTheme="minorHAnsi" w:hAnsiTheme="minorHAnsi" w:cstheme="minorHAnsi"/>
                <w:bCs/>
              </w:rPr>
              <w:t xml:space="preserve">Registro y </w:t>
            </w:r>
            <w:r>
              <w:rPr>
                <w:rFonts w:asciiTheme="minorHAnsi" w:hAnsiTheme="minorHAnsi" w:cstheme="minorHAnsi"/>
                <w:bCs/>
              </w:rPr>
              <w:t>a</w:t>
            </w:r>
            <w:r w:rsidRPr="00922FAE">
              <w:rPr>
                <w:rFonts w:asciiTheme="minorHAnsi" w:hAnsiTheme="minorHAnsi" w:cstheme="minorHAnsi"/>
                <w:bCs/>
              </w:rPr>
              <w:t xml:space="preserve">utorizaciones ante los reguladores </w:t>
            </w:r>
          </w:p>
        </w:tc>
        <w:tc>
          <w:tcPr>
            <w:tcW w:w="567" w:type="dxa"/>
            <w:tcBorders>
              <w:left w:val="single" w:sz="4" w:space="0" w:color="auto"/>
            </w:tcBorders>
          </w:tcPr>
          <w:p w14:paraId="1A6B9688" w14:textId="77777777" w:rsidR="00922FAE" w:rsidRPr="00A91384" w:rsidRDefault="00922FAE" w:rsidP="00922FAE">
            <w:pPr>
              <w:pStyle w:val="TableParagraph"/>
              <w:spacing w:line="360" w:lineRule="auto"/>
              <w:rPr>
                <w:rFonts w:asciiTheme="minorHAnsi" w:hAnsiTheme="minorHAnsi" w:cstheme="minorHAnsi"/>
                <w:b/>
              </w:rPr>
            </w:pPr>
          </w:p>
        </w:tc>
      </w:tr>
      <w:tr w:rsidR="00922FAE" w:rsidRPr="00A91384" w14:paraId="37B23A68" w14:textId="77777777" w:rsidTr="00922FAE">
        <w:trPr>
          <w:trHeight w:val="253"/>
        </w:trPr>
        <w:tc>
          <w:tcPr>
            <w:tcW w:w="4155" w:type="dxa"/>
            <w:tcBorders>
              <w:right w:val="single" w:sz="4" w:space="0" w:color="auto"/>
            </w:tcBorders>
          </w:tcPr>
          <w:p w14:paraId="7744A40B" w14:textId="180A105B" w:rsidR="00922FAE" w:rsidRPr="00FF5CD8" w:rsidRDefault="00922FAE" w:rsidP="00922FAE">
            <w:pPr>
              <w:pStyle w:val="TableParagraph"/>
              <w:spacing w:line="276" w:lineRule="auto"/>
              <w:ind w:left="107"/>
              <w:rPr>
                <w:rFonts w:asciiTheme="minorHAnsi" w:hAnsiTheme="minorHAnsi" w:cstheme="minorHAnsi"/>
                <w:bCs/>
              </w:rPr>
            </w:pPr>
            <w:r w:rsidRPr="00922FAE">
              <w:rPr>
                <w:rFonts w:asciiTheme="minorHAnsi" w:hAnsiTheme="minorHAnsi" w:cstheme="minorHAnsi"/>
                <w:bCs/>
              </w:rPr>
              <w:t>Protección al consumidor financiero</w:t>
            </w:r>
          </w:p>
        </w:tc>
        <w:tc>
          <w:tcPr>
            <w:tcW w:w="523" w:type="dxa"/>
            <w:tcBorders>
              <w:left w:val="single" w:sz="4" w:space="0" w:color="auto"/>
            </w:tcBorders>
          </w:tcPr>
          <w:p w14:paraId="1F5637F4" w14:textId="77777777" w:rsidR="00922FAE" w:rsidRPr="00FF5CD8" w:rsidRDefault="00922FAE" w:rsidP="00922FAE">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1C972BA4" w:rsidR="00922FAE" w:rsidRPr="00FF5CD8" w:rsidRDefault="00922FAE" w:rsidP="00922FAE">
            <w:pPr>
              <w:pStyle w:val="TableParagraph"/>
              <w:spacing w:line="276" w:lineRule="auto"/>
              <w:ind w:left="105"/>
              <w:rPr>
                <w:rFonts w:asciiTheme="minorHAnsi" w:hAnsiTheme="minorHAnsi" w:cstheme="minorHAnsi"/>
                <w:bCs/>
              </w:rPr>
            </w:pPr>
            <w:r w:rsidRPr="00922FAE">
              <w:rPr>
                <w:rFonts w:asciiTheme="minorHAnsi" w:hAnsiTheme="minorHAnsi" w:cstheme="minorHAnsi"/>
                <w:bCs/>
              </w:rPr>
              <w:t>Fondos de Inversión</w:t>
            </w:r>
          </w:p>
        </w:tc>
        <w:tc>
          <w:tcPr>
            <w:tcW w:w="567" w:type="dxa"/>
            <w:tcBorders>
              <w:left w:val="single" w:sz="4" w:space="0" w:color="auto"/>
            </w:tcBorders>
          </w:tcPr>
          <w:p w14:paraId="184F5D12" w14:textId="77777777" w:rsidR="00922FAE" w:rsidRPr="00A91384" w:rsidRDefault="00922FAE" w:rsidP="00922FAE">
            <w:pPr>
              <w:pStyle w:val="TableParagraph"/>
              <w:spacing w:line="360" w:lineRule="auto"/>
              <w:rPr>
                <w:rFonts w:asciiTheme="minorHAnsi" w:hAnsiTheme="minorHAnsi" w:cstheme="minorHAnsi"/>
                <w:b/>
              </w:rPr>
            </w:pPr>
          </w:p>
        </w:tc>
      </w:tr>
      <w:tr w:rsidR="00922FAE" w:rsidRPr="00A91384" w14:paraId="3D48257D" w14:textId="77777777" w:rsidTr="00922FAE">
        <w:trPr>
          <w:trHeight w:val="251"/>
        </w:trPr>
        <w:tc>
          <w:tcPr>
            <w:tcW w:w="4155" w:type="dxa"/>
            <w:tcBorders>
              <w:right w:val="single" w:sz="4" w:space="0" w:color="auto"/>
            </w:tcBorders>
          </w:tcPr>
          <w:p w14:paraId="4B776A78" w14:textId="21F55FDF" w:rsidR="00922FAE" w:rsidRPr="00FF5CD8" w:rsidRDefault="00922FAE" w:rsidP="00922FAE">
            <w:pPr>
              <w:pStyle w:val="TableParagraph"/>
              <w:spacing w:line="276" w:lineRule="auto"/>
              <w:ind w:left="107"/>
              <w:rPr>
                <w:rFonts w:asciiTheme="minorHAnsi" w:hAnsiTheme="minorHAnsi" w:cstheme="minorHAnsi"/>
                <w:bCs/>
              </w:rPr>
            </w:pPr>
            <w:r w:rsidRPr="00922FAE">
              <w:rPr>
                <w:rFonts w:asciiTheme="minorHAnsi" w:hAnsiTheme="minorHAnsi" w:cstheme="minorHAnsi"/>
                <w:bCs/>
              </w:rPr>
              <w:t>Operaciones entre bancos</w:t>
            </w:r>
          </w:p>
        </w:tc>
        <w:tc>
          <w:tcPr>
            <w:tcW w:w="523" w:type="dxa"/>
            <w:tcBorders>
              <w:left w:val="single" w:sz="4" w:space="0" w:color="auto"/>
            </w:tcBorders>
          </w:tcPr>
          <w:p w14:paraId="3F3C4A65" w14:textId="77777777" w:rsidR="00922FAE" w:rsidRPr="00FF5CD8" w:rsidRDefault="00922FAE" w:rsidP="00922FAE">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0A494E98" w:rsidR="00922FAE" w:rsidRPr="00FF5CD8" w:rsidRDefault="00922FAE" w:rsidP="00922FAE">
            <w:pPr>
              <w:pStyle w:val="TableParagraph"/>
              <w:spacing w:line="276" w:lineRule="auto"/>
              <w:ind w:left="105"/>
              <w:rPr>
                <w:rFonts w:asciiTheme="minorHAnsi" w:hAnsiTheme="minorHAnsi" w:cstheme="minorHAnsi"/>
                <w:bCs/>
              </w:rPr>
            </w:pPr>
            <w:r w:rsidRPr="00922FAE">
              <w:rPr>
                <w:rFonts w:asciiTheme="minorHAnsi" w:hAnsiTheme="minorHAnsi" w:cstheme="minorHAnsi"/>
                <w:bCs/>
              </w:rPr>
              <w:t>Titularizaciones – Emisiones</w:t>
            </w:r>
          </w:p>
        </w:tc>
        <w:tc>
          <w:tcPr>
            <w:tcW w:w="567" w:type="dxa"/>
            <w:tcBorders>
              <w:left w:val="single" w:sz="4" w:space="0" w:color="auto"/>
            </w:tcBorders>
          </w:tcPr>
          <w:p w14:paraId="7BB72D0C" w14:textId="77777777" w:rsidR="00922FAE" w:rsidRPr="00A91384" w:rsidRDefault="00922FAE" w:rsidP="00922FAE">
            <w:pPr>
              <w:pStyle w:val="TableParagraph"/>
              <w:spacing w:line="360" w:lineRule="auto"/>
              <w:rPr>
                <w:rFonts w:asciiTheme="minorHAnsi" w:hAnsiTheme="minorHAnsi" w:cstheme="minorHAnsi"/>
                <w:b/>
              </w:rPr>
            </w:pPr>
          </w:p>
        </w:tc>
      </w:tr>
      <w:tr w:rsidR="00922FAE" w:rsidRPr="00A91384" w14:paraId="1FEB78F8" w14:textId="77777777" w:rsidTr="00922FAE">
        <w:trPr>
          <w:trHeight w:val="506"/>
        </w:trPr>
        <w:tc>
          <w:tcPr>
            <w:tcW w:w="4155" w:type="dxa"/>
            <w:tcBorders>
              <w:right w:val="single" w:sz="4" w:space="0" w:color="auto"/>
            </w:tcBorders>
          </w:tcPr>
          <w:p w14:paraId="13D2F744" w14:textId="22982851" w:rsidR="00922FAE" w:rsidRPr="00FF5CD8" w:rsidRDefault="00922FAE" w:rsidP="00922FAE">
            <w:pPr>
              <w:pStyle w:val="TableParagraph"/>
              <w:spacing w:line="276" w:lineRule="auto"/>
              <w:ind w:left="107"/>
              <w:rPr>
                <w:rFonts w:asciiTheme="minorHAnsi" w:hAnsiTheme="minorHAnsi" w:cstheme="minorHAnsi"/>
                <w:bCs/>
              </w:rPr>
            </w:pPr>
            <w:r w:rsidRPr="00922FAE">
              <w:rPr>
                <w:rFonts w:asciiTheme="minorHAnsi" w:hAnsiTheme="minorHAnsi" w:cstheme="minorHAnsi"/>
                <w:bCs/>
              </w:rPr>
              <w:t>Préstamos sindicados</w:t>
            </w:r>
          </w:p>
        </w:tc>
        <w:tc>
          <w:tcPr>
            <w:tcW w:w="523" w:type="dxa"/>
            <w:tcBorders>
              <w:left w:val="single" w:sz="4" w:space="0" w:color="auto"/>
            </w:tcBorders>
          </w:tcPr>
          <w:p w14:paraId="1F64B0CA" w14:textId="77777777" w:rsidR="00922FAE" w:rsidRPr="00FF5CD8" w:rsidRDefault="00922FAE" w:rsidP="00922FAE">
            <w:pPr>
              <w:pStyle w:val="TableParagraph"/>
              <w:spacing w:line="276" w:lineRule="auto"/>
              <w:rPr>
                <w:rFonts w:asciiTheme="minorHAnsi" w:hAnsiTheme="minorHAnsi" w:cstheme="minorHAnsi"/>
                <w:bCs/>
              </w:rPr>
            </w:pPr>
          </w:p>
        </w:tc>
        <w:tc>
          <w:tcPr>
            <w:tcW w:w="3969" w:type="dxa"/>
            <w:tcBorders>
              <w:right w:val="single" w:sz="4" w:space="0" w:color="auto"/>
            </w:tcBorders>
          </w:tcPr>
          <w:p w14:paraId="74DEFAFD" w14:textId="1943EB54" w:rsidR="00922FAE" w:rsidRPr="00FF5CD8" w:rsidRDefault="00922FAE" w:rsidP="00922FAE">
            <w:pPr>
              <w:pStyle w:val="TableParagraph"/>
              <w:spacing w:before="2" w:line="276" w:lineRule="auto"/>
              <w:ind w:left="105" w:right="824"/>
              <w:rPr>
                <w:rFonts w:asciiTheme="minorHAnsi" w:hAnsiTheme="minorHAnsi" w:cstheme="minorHAnsi"/>
                <w:bCs/>
              </w:rPr>
            </w:pPr>
            <w:r>
              <w:rPr>
                <w:rFonts w:asciiTheme="minorHAnsi" w:hAnsiTheme="minorHAnsi" w:cstheme="minorHAnsi"/>
                <w:bCs/>
              </w:rPr>
              <w:t>Bolsa de Valores</w:t>
            </w:r>
          </w:p>
        </w:tc>
        <w:tc>
          <w:tcPr>
            <w:tcW w:w="567" w:type="dxa"/>
            <w:tcBorders>
              <w:left w:val="single" w:sz="4" w:space="0" w:color="auto"/>
            </w:tcBorders>
          </w:tcPr>
          <w:p w14:paraId="294FB24C" w14:textId="77777777" w:rsidR="00922FAE" w:rsidRPr="00A91384" w:rsidRDefault="00922FAE" w:rsidP="00922FAE">
            <w:pPr>
              <w:spacing w:line="360" w:lineRule="auto"/>
              <w:rPr>
                <w:rFonts w:asciiTheme="minorHAnsi" w:hAnsiTheme="minorHAnsi" w:cstheme="minorHAnsi"/>
                <w:b/>
              </w:rPr>
            </w:pPr>
          </w:p>
          <w:p w14:paraId="7177E725" w14:textId="77777777" w:rsidR="00922FAE" w:rsidRPr="00A91384" w:rsidRDefault="00922FAE" w:rsidP="00922FAE">
            <w:pPr>
              <w:pStyle w:val="TableParagraph"/>
              <w:spacing w:before="2" w:line="360" w:lineRule="auto"/>
              <w:ind w:right="824"/>
              <w:rPr>
                <w:rFonts w:asciiTheme="minorHAnsi" w:hAnsiTheme="minorHAnsi" w:cstheme="minorHAnsi"/>
                <w:b/>
              </w:rPr>
            </w:pPr>
          </w:p>
        </w:tc>
      </w:tr>
      <w:tr w:rsidR="00746388" w:rsidRPr="00A91384" w14:paraId="3043C099" w14:textId="77777777" w:rsidTr="00922FAE">
        <w:trPr>
          <w:trHeight w:val="506"/>
        </w:trPr>
        <w:tc>
          <w:tcPr>
            <w:tcW w:w="4155" w:type="dxa"/>
            <w:tcBorders>
              <w:right w:val="single" w:sz="4" w:space="0" w:color="auto"/>
            </w:tcBorders>
          </w:tcPr>
          <w:p w14:paraId="278C85C1" w14:textId="5D267A04" w:rsidR="00746388" w:rsidRPr="00FF5CD8" w:rsidRDefault="00922FAE" w:rsidP="00922FAE">
            <w:pPr>
              <w:pStyle w:val="TableParagraph"/>
              <w:spacing w:line="276" w:lineRule="auto"/>
              <w:ind w:left="107"/>
              <w:rPr>
                <w:rFonts w:asciiTheme="minorHAnsi" w:hAnsiTheme="minorHAnsi" w:cstheme="minorHAnsi"/>
                <w:bCs/>
              </w:rPr>
            </w:pPr>
            <w:r>
              <w:rPr>
                <w:rFonts w:asciiTheme="minorHAnsi" w:hAnsiTheme="minorHAnsi" w:cstheme="minorHAnsi"/>
                <w:bCs/>
              </w:rPr>
              <w:t>Mercado de capitales</w:t>
            </w:r>
            <w:r w:rsidR="00746388" w:rsidRPr="00FF5CD8">
              <w:rPr>
                <w:rFonts w:asciiTheme="minorHAnsi" w:hAnsiTheme="minorHAnsi" w:cstheme="minorHAnsi"/>
                <w:bCs/>
              </w:rPr>
              <w:t xml:space="preserve"> </w:t>
            </w:r>
          </w:p>
        </w:tc>
        <w:tc>
          <w:tcPr>
            <w:tcW w:w="523" w:type="dxa"/>
            <w:tcBorders>
              <w:left w:val="single" w:sz="4" w:space="0" w:color="auto"/>
            </w:tcBorders>
          </w:tcPr>
          <w:p w14:paraId="54F417C7" w14:textId="77777777" w:rsidR="00746388" w:rsidRPr="00FF5CD8" w:rsidRDefault="00746388" w:rsidP="00922FAE">
            <w:pPr>
              <w:pStyle w:val="TableParagraph"/>
              <w:spacing w:line="276" w:lineRule="auto"/>
              <w:rPr>
                <w:rFonts w:asciiTheme="minorHAnsi" w:hAnsiTheme="minorHAnsi" w:cstheme="minorHAnsi"/>
                <w:bCs/>
              </w:rPr>
            </w:pPr>
          </w:p>
        </w:tc>
        <w:tc>
          <w:tcPr>
            <w:tcW w:w="3969" w:type="dxa"/>
            <w:tcBorders>
              <w:right w:val="single" w:sz="4" w:space="0" w:color="auto"/>
            </w:tcBorders>
          </w:tcPr>
          <w:p w14:paraId="3340FEE4" w14:textId="77777777" w:rsidR="00746388" w:rsidRPr="00FF5CD8" w:rsidRDefault="00746388" w:rsidP="00922FAE">
            <w:pPr>
              <w:pStyle w:val="TableParagraph"/>
              <w:spacing w:before="2" w:line="276" w:lineRule="auto"/>
              <w:ind w:left="105" w:right="824"/>
              <w:rPr>
                <w:rFonts w:asciiTheme="minorHAnsi" w:hAnsiTheme="minorHAnsi" w:cstheme="minorHAnsi"/>
                <w:bCs/>
              </w:rPr>
            </w:pPr>
            <w:r>
              <w:rPr>
                <w:rFonts w:asciiTheme="minorHAnsi" w:hAnsiTheme="minorHAnsi" w:cstheme="minorHAnsi"/>
                <w:bCs/>
              </w:rPr>
              <w:t>(</w:t>
            </w:r>
            <w:r w:rsidRPr="00FF5CD8">
              <w:rPr>
                <w:rFonts w:asciiTheme="minorHAnsi" w:hAnsiTheme="minorHAnsi" w:cstheme="minorHAnsi"/>
                <w:bCs/>
              </w:rPr>
              <w:t>Mencione otras prácticas</w:t>
            </w:r>
            <w:r>
              <w:rPr>
                <w:rFonts w:asciiTheme="minorHAnsi" w:hAnsiTheme="minorHAnsi" w:cstheme="minorHAnsi"/>
                <w:bCs/>
              </w:rPr>
              <w:t>)</w:t>
            </w:r>
          </w:p>
        </w:tc>
        <w:tc>
          <w:tcPr>
            <w:tcW w:w="567" w:type="dxa"/>
            <w:tcBorders>
              <w:left w:val="single" w:sz="4" w:space="0" w:color="auto"/>
            </w:tcBorders>
          </w:tcPr>
          <w:p w14:paraId="5F7F433F" w14:textId="77777777" w:rsidR="00746388" w:rsidRPr="00A91384" w:rsidRDefault="00746388" w:rsidP="00FA31C3">
            <w:pPr>
              <w:spacing w:line="360" w:lineRule="auto"/>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1C1CAB42"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12E2D16E" w14:textId="21C0BF5E" w:rsidR="00746388" w:rsidRPr="00A91384" w:rsidRDefault="00746388"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4946EB04"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lastRenderedPageBreak/>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202534" w:rsidRPr="00A91384" w14:paraId="5DC8C66C" w14:textId="77777777" w:rsidTr="00FA31C3">
        <w:trPr>
          <w:trHeight w:val="249"/>
        </w:trPr>
        <w:tc>
          <w:tcPr>
            <w:tcW w:w="3714" w:type="dxa"/>
          </w:tcPr>
          <w:p w14:paraId="18AD5AFE" w14:textId="19230BFB"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Inmobiliario y Urbanismo</w:t>
            </w:r>
          </w:p>
        </w:tc>
        <w:tc>
          <w:tcPr>
            <w:tcW w:w="708" w:type="dxa"/>
          </w:tcPr>
          <w:p w14:paraId="4D887B5E"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07F1AEBA"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59AC9352" w14:textId="77777777" w:rsidTr="00FA31C3">
        <w:trPr>
          <w:trHeight w:val="253"/>
        </w:trPr>
        <w:tc>
          <w:tcPr>
            <w:tcW w:w="3714" w:type="dxa"/>
          </w:tcPr>
          <w:p w14:paraId="7A71078E" w14:textId="493FA668"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Sanitario</w:t>
            </w:r>
          </w:p>
        </w:tc>
        <w:tc>
          <w:tcPr>
            <w:tcW w:w="708" w:type="dxa"/>
          </w:tcPr>
          <w:p w14:paraId="5D3BC91F"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599F91E3"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68386FDC" w14:textId="77777777" w:rsidTr="00FA31C3">
        <w:trPr>
          <w:trHeight w:val="503"/>
        </w:trPr>
        <w:tc>
          <w:tcPr>
            <w:tcW w:w="3714" w:type="dxa"/>
          </w:tcPr>
          <w:p w14:paraId="4C9C932B" w14:textId="05FEDF82" w:rsidR="00202534" w:rsidRPr="00FF5CD8" w:rsidRDefault="00202534" w:rsidP="00202534">
            <w:pPr>
              <w:pStyle w:val="TableParagraph"/>
              <w:spacing w:before="2" w:line="360" w:lineRule="auto"/>
              <w:ind w:left="110" w:right="796"/>
              <w:rPr>
                <w:rFonts w:asciiTheme="minorHAnsi" w:hAnsiTheme="minorHAnsi" w:cstheme="minorHAnsi"/>
                <w:bCs/>
              </w:rPr>
            </w:pPr>
            <w:r w:rsidRPr="002A715A">
              <w:rPr>
                <w:rFonts w:asciiTheme="minorHAnsi" w:hAnsiTheme="minorHAnsi" w:cstheme="minorHAnsi"/>
                <w:bCs/>
              </w:rPr>
              <w:t>Energía</w:t>
            </w:r>
          </w:p>
        </w:tc>
        <w:tc>
          <w:tcPr>
            <w:tcW w:w="708" w:type="dxa"/>
          </w:tcPr>
          <w:p w14:paraId="2DC6C56B"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3D9069D2"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07848973" w14:textId="77777777" w:rsidTr="00FA31C3">
        <w:trPr>
          <w:trHeight w:val="503"/>
        </w:trPr>
        <w:tc>
          <w:tcPr>
            <w:tcW w:w="3714" w:type="dxa"/>
          </w:tcPr>
          <w:p w14:paraId="464E2943" w14:textId="7E63CCF0" w:rsidR="00202534" w:rsidRPr="00FF5CD8" w:rsidRDefault="00202534" w:rsidP="00202534">
            <w:pPr>
              <w:pStyle w:val="TableParagraph"/>
              <w:spacing w:before="2" w:line="360" w:lineRule="auto"/>
              <w:ind w:left="110" w:right="796"/>
              <w:rPr>
                <w:rFonts w:asciiTheme="minorHAnsi" w:hAnsiTheme="minorHAnsi" w:cstheme="minorHAnsi"/>
                <w:bCs/>
              </w:rPr>
            </w:pPr>
            <w:r w:rsidRPr="002A715A">
              <w:rPr>
                <w:rFonts w:asciiTheme="minorHAnsi" w:hAnsiTheme="minorHAnsi" w:cstheme="minorHAnsi"/>
                <w:bCs/>
              </w:rPr>
              <w:t>Telecomunicaciones</w:t>
            </w:r>
          </w:p>
        </w:tc>
        <w:tc>
          <w:tcPr>
            <w:tcW w:w="708" w:type="dxa"/>
          </w:tcPr>
          <w:p w14:paraId="3F91C98E"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56EE1ABC"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780A3CD8" w14:textId="77777777" w:rsidTr="00FA31C3">
        <w:trPr>
          <w:trHeight w:val="251"/>
        </w:trPr>
        <w:tc>
          <w:tcPr>
            <w:tcW w:w="3714" w:type="dxa"/>
          </w:tcPr>
          <w:p w14:paraId="58282B34" w14:textId="5D16C5A1"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 xml:space="preserve">  Hidrocarburos</w:t>
            </w:r>
          </w:p>
        </w:tc>
        <w:tc>
          <w:tcPr>
            <w:tcW w:w="708" w:type="dxa"/>
          </w:tcPr>
          <w:p w14:paraId="180E5364"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78A1F393"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41368016" w14:textId="77777777" w:rsidTr="00FA31C3">
        <w:trPr>
          <w:trHeight w:val="251"/>
        </w:trPr>
        <w:tc>
          <w:tcPr>
            <w:tcW w:w="3714" w:type="dxa"/>
          </w:tcPr>
          <w:p w14:paraId="3BCD20C8" w14:textId="55800C7D"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construcción</w:t>
            </w:r>
          </w:p>
        </w:tc>
        <w:tc>
          <w:tcPr>
            <w:tcW w:w="708" w:type="dxa"/>
          </w:tcPr>
          <w:p w14:paraId="476F6B4D"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1874503A"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3AEF57D2" w14:textId="77777777" w:rsidTr="00FA31C3">
        <w:trPr>
          <w:trHeight w:val="251"/>
        </w:trPr>
        <w:tc>
          <w:tcPr>
            <w:tcW w:w="3714" w:type="dxa"/>
          </w:tcPr>
          <w:p w14:paraId="62DC9C9D" w14:textId="4654BBED"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Recursos naturales</w:t>
            </w:r>
          </w:p>
        </w:tc>
        <w:tc>
          <w:tcPr>
            <w:tcW w:w="708" w:type="dxa"/>
          </w:tcPr>
          <w:p w14:paraId="44711DF5"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42972190"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042E6D7E" w14:textId="77777777" w:rsidTr="00FA31C3">
        <w:trPr>
          <w:trHeight w:val="251"/>
        </w:trPr>
        <w:tc>
          <w:tcPr>
            <w:tcW w:w="3714" w:type="dxa"/>
          </w:tcPr>
          <w:p w14:paraId="0B08EA36" w14:textId="776DEA9A"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 xml:space="preserve">Mercado de Capitales y Valores </w:t>
            </w:r>
          </w:p>
        </w:tc>
        <w:tc>
          <w:tcPr>
            <w:tcW w:w="708" w:type="dxa"/>
          </w:tcPr>
          <w:p w14:paraId="700DC1B4"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5ACCF70C"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7A3726D9" w14:textId="77777777" w:rsidTr="00FA31C3">
        <w:trPr>
          <w:trHeight w:val="251"/>
        </w:trPr>
        <w:tc>
          <w:tcPr>
            <w:tcW w:w="3714" w:type="dxa"/>
          </w:tcPr>
          <w:p w14:paraId="042B1DFE" w14:textId="543FD573"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Infraestructura Pública y Asocios Público-Privados</w:t>
            </w:r>
          </w:p>
        </w:tc>
        <w:tc>
          <w:tcPr>
            <w:tcW w:w="708" w:type="dxa"/>
          </w:tcPr>
          <w:p w14:paraId="052A5AFD"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44F15ADA"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2103F820" w14:textId="77777777" w:rsidTr="00FA31C3">
        <w:trPr>
          <w:trHeight w:val="251"/>
        </w:trPr>
        <w:tc>
          <w:tcPr>
            <w:tcW w:w="3714" w:type="dxa"/>
          </w:tcPr>
          <w:p w14:paraId="30DA41E1" w14:textId="1D8C7D34"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Alimentos y bebidas</w:t>
            </w:r>
          </w:p>
        </w:tc>
        <w:tc>
          <w:tcPr>
            <w:tcW w:w="708" w:type="dxa"/>
          </w:tcPr>
          <w:p w14:paraId="401E0FB5"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5C4D6AB8"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021C9537" w14:textId="77777777" w:rsidTr="00FA31C3">
        <w:trPr>
          <w:trHeight w:val="251"/>
        </w:trPr>
        <w:tc>
          <w:tcPr>
            <w:tcW w:w="3714" w:type="dxa"/>
          </w:tcPr>
          <w:p w14:paraId="3052B0F4" w14:textId="2B64AC7C"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Transporte</w:t>
            </w:r>
          </w:p>
        </w:tc>
        <w:tc>
          <w:tcPr>
            <w:tcW w:w="708" w:type="dxa"/>
          </w:tcPr>
          <w:p w14:paraId="6F5B457F"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1B861692"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3D2BCA1F" w14:textId="77777777" w:rsidTr="00FA31C3">
        <w:trPr>
          <w:trHeight w:val="251"/>
        </w:trPr>
        <w:tc>
          <w:tcPr>
            <w:tcW w:w="3714" w:type="dxa"/>
          </w:tcPr>
          <w:p w14:paraId="1D951EF9" w14:textId="575F8A5F"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Seguros</w:t>
            </w:r>
          </w:p>
        </w:tc>
        <w:tc>
          <w:tcPr>
            <w:tcW w:w="708" w:type="dxa"/>
          </w:tcPr>
          <w:p w14:paraId="7CD1EE94"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1CBA967C"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0FD9ADD0" w14:textId="77777777" w:rsidTr="00FA31C3">
        <w:trPr>
          <w:trHeight w:val="251"/>
        </w:trPr>
        <w:tc>
          <w:tcPr>
            <w:tcW w:w="3714" w:type="dxa"/>
          </w:tcPr>
          <w:p w14:paraId="53F5CE25" w14:textId="12E0FD72" w:rsidR="00202534" w:rsidRPr="00FF5CD8" w:rsidRDefault="00202534" w:rsidP="00202534">
            <w:pPr>
              <w:pStyle w:val="TableParagraph"/>
              <w:spacing w:line="360" w:lineRule="auto"/>
              <w:ind w:left="110"/>
              <w:rPr>
                <w:rFonts w:asciiTheme="minorHAnsi" w:hAnsiTheme="minorHAnsi" w:cstheme="minorHAnsi"/>
                <w:bCs/>
              </w:rPr>
            </w:pPr>
            <w:r w:rsidRPr="002A715A">
              <w:rPr>
                <w:rFonts w:asciiTheme="minorHAnsi" w:hAnsiTheme="minorHAnsi" w:cstheme="minorHAnsi"/>
                <w:bCs/>
              </w:rPr>
              <w:t>Logística y Aduanas</w:t>
            </w:r>
          </w:p>
        </w:tc>
        <w:tc>
          <w:tcPr>
            <w:tcW w:w="708" w:type="dxa"/>
          </w:tcPr>
          <w:p w14:paraId="17F234D7"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41E1D5F3"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2614C4FF" w14:textId="77777777" w:rsidTr="00FA31C3">
        <w:trPr>
          <w:trHeight w:val="251"/>
        </w:trPr>
        <w:tc>
          <w:tcPr>
            <w:tcW w:w="3714" w:type="dxa"/>
          </w:tcPr>
          <w:p w14:paraId="2CEDB292" w14:textId="1470435A" w:rsidR="00202534" w:rsidRPr="00A91384" w:rsidRDefault="00202534" w:rsidP="00202534">
            <w:pPr>
              <w:pStyle w:val="TableParagraph"/>
              <w:spacing w:line="360" w:lineRule="auto"/>
              <w:ind w:left="110"/>
              <w:rPr>
                <w:rFonts w:asciiTheme="minorHAnsi" w:hAnsiTheme="minorHAnsi" w:cstheme="minorHAnsi"/>
                <w:b/>
              </w:rPr>
            </w:pPr>
            <w:r w:rsidRPr="002A715A">
              <w:rPr>
                <w:rFonts w:asciiTheme="minorHAnsi" w:hAnsiTheme="minorHAnsi" w:cstheme="minorHAnsi"/>
                <w:bCs/>
              </w:rPr>
              <w:t>Medios de comunicación</w:t>
            </w:r>
          </w:p>
        </w:tc>
        <w:tc>
          <w:tcPr>
            <w:tcW w:w="708" w:type="dxa"/>
          </w:tcPr>
          <w:p w14:paraId="35E852BF"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2CBB3CB5" w14:textId="77777777" w:rsidR="00202534" w:rsidRPr="00A91384" w:rsidRDefault="00202534" w:rsidP="00202534">
            <w:pPr>
              <w:pStyle w:val="TableParagraph"/>
              <w:spacing w:line="360" w:lineRule="auto"/>
              <w:rPr>
                <w:rFonts w:asciiTheme="minorHAnsi" w:hAnsiTheme="minorHAnsi" w:cstheme="minorHAnsi"/>
              </w:rPr>
            </w:pPr>
          </w:p>
        </w:tc>
      </w:tr>
      <w:tr w:rsidR="00202534" w:rsidRPr="00A91384" w14:paraId="1CC30CD8" w14:textId="77777777" w:rsidTr="00FA31C3">
        <w:trPr>
          <w:trHeight w:val="251"/>
        </w:trPr>
        <w:tc>
          <w:tcPr>
            <w:tcW w:w="3714" w:type="dxa"/>
          </w:tcPr>
          <w:p w14:paraId="05D62AEE" w14:textId="430A40DF" w:rsidR="00202534" w:rsidRPr="00A91384" w:rsidRDefault="00202534" w:rsidP="00202534">
            <w:pPr>
              <w:pStyle w:val="TableParagraph"/>
              <w:spacing w:line="360" w:lineRule="auto"/>
              <w:ind w:left="110"/>
              <w:rPr>
                <w:rFonts w:asciiTheme="minorHAnsi" w:hAnsiTheme="minorHAnsi" w:cstheme="minorHAnsi"/>
                <w:b/>
              </w:rPr>
            </w:pPr>
            <w:r w:rsidRPr="002A715A">
              <w:rPr>
                <w:rFonts w:asciiTheme="minorHAnsi" w:hAnsiTheme="minorHAnsi" w:cstheme="minorHAnsi"/>
                <w:bCs/>
              </w:rPr>
              <w:t>Otros (detallar)</w:t>
            </w:r>
          </w:p>
        </w:tc>
        <w:tc>
          <w:tcPr>
            <w:tcW w:w="708" w:type="dxa"/>
          </w:tcPr>
          <w:p w14:paraId="04399A19" w14:textId="77777777" w:rsidR="00202534" w:rsidRPr="00A91384" w:rsidRDefault="00202534" w:rsidP="00202534">
            <w:pPr>
              <w:pStyle w:val="TableParagraph"/>
              <w:spacing w:line="360" w:lineRule="auto"/>
              <w:rPr>
                <w:rFonts w:asciiTheme="minorHAnsi" w:hAnsiTheme="minorHAnsi" w:cstheme="minorHAnsi"/>
              </w:rPr>
            </w:pPr>
          </w:p>
        </w:tc>
        <w:tc>
          <w:tcPr>
            <w:tcW w:w="6498" w:type="dxa"/>
          </w:tcPr>
          <w:p w14:paraId="30D955F3" w14:textId="77777777" w:rsidR="00202534" w:rsidRPr="00A91384" w:rsidRDefault="00202534" w:rsidP="00202534">
            <w:pPr>
              <w:pStyle w:val="TableParagraph"/>
              <w:spacing w:line="360" w:lineRule="auto"/>
              <w:rPr>
                <w:rFonts w:asciiTheme="minorHAnsi" w:hAnsiTheme="minorHAnsi" w:cstheme="minorHAnsi"/>
              </w:rPr>
            </w:pPr>
          </w:p>
        </w:tc>
      </w:tr>
    </w:tbl>
    <w:p w14:paraId="78FF5A2D" w14:textId="77777777"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 xml:space="preserve">Incluya los detalles solicitados de un mínimo de tres operaciones principales que hayan concluido desde agosto de 2021 hasta agosto 2022. Debe centrarse en la inclusión de solo los trabajos más </w:t>
      </w:r>
      <w:r w:rsidRPr="00824CE2">
        <w:rPr>
          <w:rFonts w:asciiTheme="minorHAnsi" w:hAnsiTheme="minorHAnsi" w:cstheme="minorHAnsi"/>
        </w:rPr>
        <w:lastRenderedPageBreak/>
        <w:t xml:space="preserve">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674A0771" w:rsidR="00134081" w:rsidRDefault="00134081" w:rsidP="00746388">
      <w:pPr>
        <w:pStyle w:val="Textoindependiente"/>
        <w:spacing w:before="19" w:line="276" w:lineRule="auto"/>
        <w:ind w:right="1271"/>
        <w:jc w:val="center"/>
        <w:rPr>
          <w:rFonts w:asciiTheme="minorHAnsi" w:hAnsiTheme="minorHAnsi" w:cstheme="minorHAnsi"/>
          <w:b/>
        </w:rPr>
      </w:pPr>
    </w:p>
    <w:p w14:paraId="1E0C7370" w14:textId="5EB54D0D" w:rsidR="00361ADC" w:rsidRDefault="00361ADC" w:rsidP="00746388">
      <w:pPr>
        <w:pStyle w:val="Textoindependiente"/>
        <w:spacing w:before="19" w:line="276" w:lineRule="auto"/>
        <w:ind w:right="1271"/>
        <w:jc w:val="center"/>
        <w:rPr>
          <w:rFonts w:asciiTheme="minorHAnsi" w:hAnsiTheme="minorHAnsi" w:cstheme="minorHAnsi"/>
          <w:b/>
        </w:rPr>
      </w:pPr>
    </w:p>
    <w:p w14:paraId="6C59E2DB" w14:textId="4F60E46B" w:rsidR="00361ADC" w:rsidRDefault="00361ADC" w:rsidP="00746388">
      <w:pPr>
        <w:pStyle w:val="Textoindependiente"/>
        <w:spacing w:before="19" w:line="276" w:lineRule="auto"/>
        <w:ind w:right="1271"/>
        <w:jc w:val="center"/>
        <w:rPr>
          <w:rFonts w:asciiTheme="minorHAnsi" w:hAnsiTheme="minorHAnsi" w:cstheme="minorHAnsi"/>
          <w:b/>
        </w:rPr>
      </w:pPr>
    </w:p>
    <w:p w14:paraId="5327B642" w14:textId="3587F691" w:rsidR="00361ADC" w:rsidRDefault="00361ADC" w:rsidP="00746388">
      <w:pPr>
        <w:pStyle w:val="Textoindependiente"/>
        <w:spacing w:before="19" w:line="276" w:lineRule="auto"/>
        <w:ind w:right="1271"/>
        <w:jc w:val="center"/>
        <w:rPr>
          <w:rFonts w:asciiTheme="minorHAnsi" w:hAnsiTheme="minorHAnsi" w:cstheme="minorHAnsi"/>
          <w:b/>
        </w:rPr>
      </w:pPr>
    </w:p>
    <w:p w14:paraId="3C0AE46E" w14:textId="77777777" w:rsidR="00361ADC" w:rsidRDefault="00361ADC"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093BFAC5"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CF8B0E"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02534"/>
    <w:rsid w:val="002F0DB6"/>
    <w:rsid w:val="00361ADC"/>
    <w:rsid w:val="003765A6"/>
    <w:rsid w:val="00432BBC"/>
    <w:rsid w:val="00746388"/>
    <w:rsid w:val="007C6927"/>
    <w:rsid w:val="00824CE2"/>
    <w:rsid w:val="00922FAE"/>
    <w:rsid w:val="00942CB4"/>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722</Words>
  <Characters>3977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4</cp:revision>
  <dcterms:created xsi:type="dcterms:W3CDTF">2022-07-08T03:20:00Z</dcterms:created>
  <dcterms:modified xsi:type="dcterms:W3CDTF">2022-07-19T02:05:00Z</dcterms:modified>
</cp:coreProperties>
</file>